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60" w:lineRule="auto" w:before="76"/>
        <w:ind w:left="3177" w:right="3143" w:firstLine="0"/>
        <w:jc w:val="center"/>
        <w:rPr>
          <w:b/>
          <w:sz w:val="22"/>
        </w:rPr>
      </w:pPr>
      <w:r>
        <w:rPr/>
        <w:pict>
          <v:shape style="position:absolute;margin-left:54.779999pt;margin-top:15.977918pt;width:675pt;height:5.05pt;mso-position-horizontal-relative:page;mso-position-vertical-relative:paragraph;z-index:-251703296" coordorigin="1096,320" coordsize="13500,101" path="m14596,350l14596,320,1096,390,1096,420,14596,350xe" filled="true" fillcolor="#497cb9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251659264" from=".78pt,564.487671pt" to="792pt,564.487671pt" stroked="true" strokeweight="4.304687pt" strokecolor="#497cb9">
            <v:stroke dashstyle="solid"/>
            <w10:wrap type="none"/>
          </v:line>
        </w:pict>
      </w:r>
      <w:r>
        <w:rPr>
          <w:b/>
          <w:sz w:val="22"/>
        </w:rPr>
        <w:t>SECRETARÍA EJECUTIVA DEL SISTEMA ESTATAL ANTICORRUPCIÓN INTRODUCCIÓN</w:t>
      </w:r>
    </w:p>
    <w:p>
      <w:pPr>
        <w:pStyle w:val="BodyText"/>
        <w:spacing w:line="360" w:lineRule="auto" w:before="19"/>
        <w:ind w:left="153" w:right="115"/>
        <w:jc w:val="both"/>
      </w:pPr>
      <w:r>
        <w:rPr/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</w:t>
      </w:r>
      <w:r>
        <w:rPr>
          <w:spacing w:val="-7"/>
        </w:rPr>
        <w:t> </w:t>
      </w:r>
      <w:r>
        <w:rPr/>
        <w:t>Estatal,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efecto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proveerle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asistencia</w:t>
      </w:r>
      <w:r>
        <w:rPr>
          <w:spacing w:val="-6"/>
        </w:rPr>
        <w:t> </w:t>
      </w:r>
      <w:r>
        <w:rPr/>
        <w:t>técnica,</w:t>
      </w:r>
      <w:r>
        <w:rPr>
          <w:spacing w:val="-9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insumos</w:t>
      </w:r>
      <w:r>
        <w:rPr>
          <w:spacing w:val="-7"/>
        </w:rPr>
        <w:t> </w:t>
      </w:r>
      <w:r>
        <w:rPr/>
        <w:t>necesarios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atribuciones,</w:t>
      </w:r>
      <w:r>
        <w:rPr>
          <w:spacing w:val="-6"/>
        </w:rPr>
        <w:t> </w:t>
      </w:r>
      <w:r>
        <w:rPr/>
        <w:t>para lo cual en el ejercicio fiscal 2020 se aprobó un presupuesto de egresos por $14,952,600.00, para hacer frente a diversos compromisos adquiridos y llevar a cabo el cumplimiento de los objetivos y metas del programa operativo</w:t>
      </w:r>
      <w:r>
        <w:rPr>
          <w:spacing w:val="-4"/>
        </w:rPr>
        <w:t> </w:t>
      </w:r>
      <w:r>
        <w:rPr/>
        <w:t>anual.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360" w:lineRule="auto"/>
        <w:ind w:left="153" w:right="116"/>
        <w:jc w:val="both"/>
      </w:pPr>
      <w:r>
        <w:rPr/>
        <w:t>En cumplimiento a las disposiciones de la Ley General de Contabilidad Gubernamental, normatividad emitida por el Consejo Nacional de Armonización Contable, y la Ley de Fiscalización y Rendición de Cuentas del Estado de Baja California y sus Municipios, se remite el Informe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Avance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Gestión</w:t>
      </w:r>
      <w:r>
        <w:rPr>
          <w:spacing w:val="-13"/>
        </w:rPr>
        <w:t> </w:t>
      </w:r>
      <w:r>
        <w:rPr/>
        <w:t>Financiera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Ejecutiva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Anticorrupción,</w:t>
      </w:r>
      <w:r>
        <w:rPr>
          <w:spacing w:val="-14"/>
        </w:rPr>
        <w:t> </w:t>
      </w:r>
      <w:r>
        <w:rPr/>
        <w:t>correspondiente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Tercer</w:t>
      </w:r>
      <w:r>
        <w:rPr>
          <w:spacing w:val="-13"/>
        </w:rPr>
        <w:t> </w:t>
      </w:r>
      <w:r>
        <w:rPr/>
        <w:t>Trimestre del Ejercicio 2020, información que incluye lo dispuesto en la Ley de Disciplina Financiera de las Entidades Federativas y los Municipios, como</w:t>
      </w:r>
      <w:r>
        <w:rPr>
          <w:spacing w:val="-1"/>
        </w:rPr>
        <w:t> </w:t>
      </w:r>
      <w:r>
        <w:rPr/>
        <w:t>sigue: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5" w:val="left" w:leader="none"/>
        </w:tabs>
        <w:spacing w:line="240" w:lineRule="auto" w:before="121" w:after="0"/>
        <w:ind w:left="874" w:right="0" w:hanging="362"/>
        <w:jc w:val="left"/>
        <w:rPr>
          <w:sz w:val="22"/>
        </w:rPr>
      </w:pP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Contable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5" w:val="left" w:leader="none"/>
        </w:tabs>
        <w:spacing w:line="240" w:lineRule="auto" w:before="125" w:after="0"/>
        <w:ind w:left="874" w:right="0" w:hanging="362"/>
        <w:jc w:val="left"/>
        <w:rPr>
          <w:sz w:val="22"/>
        </w:rPr>
      </w:pPr>
      <w:r>
        <w:rPr>
          <w:sz w:val="22"/>
        </w:rPr>
        <w:t>Información</w:t>
      </w:r>
      <w:r>
        <w:rPr>
          <w:spacing w:val="-6"/>
          <w:sz w:val="22"/>
        </w:rPr>
        <w:t> </w:t>
      </w:r>
      <w:r>
        <w:rPr>
          <w:sz w:val="22"/>
        </w:rPr>
        <w:t>Presupuestal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5" w:val="left" w:leader="none"/>
        </w:tabs>
        <w:spacing w:line="240" w:lineRule="auto" w:before="124" w:after="0"/>
        <w:ind w:left="874" w:right="0" w:hanging="362"/>
        <w:jc w:val="left"/>
        <w:rPr>
          <w:sz w:val="22"/>
        </w:rPr>
      </w:pP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Programática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5" w:val="left" w:leader="none"/>
        </w:tabs>
        <w:spacing w:line="240" w:lineRule="auto" w:before="125" w:after="0"/>
        <w:ind w:left="874" w:right="0" w:hanging="362"/>
        <w:jc w:val="left"/>
        <w:rPr>
          <w:sz w:val="22"/>
        </w:rPr>
      </w:pPr>
      <w:r>
        <w:rPr>
          <w:sz w:val="22"/>
        </w:rPr>
        <w:t>Anexos:</w:t>
      </w:r>
    </w:p>
    <w:p>
      <w:pPr>
        <w:pStyle w:val="BodyText"/>
        <w:spacing w:line="360" w:lineRule="auto" w:before="124"/>
        <w:ind w:left="873" w:right="9911"/>
      </w:pPr>
      <w:r>
        <w:rPr/>
        <w:t>Relación de bienes muebles Relación de bienes inmuebles</w:t>
      </w:r>
    </w:p>
    <w:p>
      <w:pPr>
        <w:pStyle w:val="BodyText"/>
        <w:spacing w:line="360" w:lineRule="auto"/>
        <w:ind w:left="873" w:right="6674"/>
      </w:pPr>
      <w:r>
        <w:rPr/>
        <w:t>Relación de cuentas bancarias productivas específicas Relación de esquemas bursátiles y de coberturas financieras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5" w:val="left" w:leader="none"/>
        </w:tabs>
        <w:spacing w:line="240" w:lineRule="auto" w:before="1" w:after="0"/>
        <w:ind w:left="874" w:right="0" w:hanging="362"/>
        <w:jc w:val="left"/>
        <w:rPr>
          <w:sz w:val="22"/>
        </w:rPr>
      </w:pPr>
      <w:r>
        <w:rPr>
          <w:sz w:val="22"/>
        </w:rPr>
        <w:t>Formatos de Disciplina</w:t>
      </w:r>
      <w:r>
        <w:rPr>
          <w:spacing w:val="-2"/>
          <w:sz w:val="22"/>
        </w:rPr>
        <w:t> </w:t>
      </w:r>
      <w:r>
        <w:rPr>
          <w:sz w:val="22"/>
        </w:rPr>
        <w:t>Financiera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5" w:val="left" w:leader="none"/>
        </w:tabs>
        <w:spacing w:line="240" w:lineRule="auto" w:before="125" w:after="0"/>
        <w:ind w:left="874" w:right="0" w:hanging="362"/>
        <w:jc w:val="left"/>
        <w:rPr>
          <w:sz w:val="22"/>
        </w:rPr>
      </w:pPr>
      <w:r>
        <w:rPr>
          <w:sz w:val="22"/>
        </w:rPr>
        <w:t>Transparencia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ind w:left="5371" w:right="5336"/>
        <w:jc w:val="center"/>
      </w:pPr>
      <w:r>
        <w:rPr/>
        <w:t>Lic. Luis Ramón Irineo Romero Secretario Técnico</w:t>
      </w:r>
    </w:p>
    <w:sectPr>
      <w:type w:val="continuous"/>
      <w:pgSz w:w="15840" w:h="12240" w:orient="landscape"/>
      <w:pgMar w:top="460" w:bottom="280" w:left="9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74" w:hanging="361"/>
      </w:pPr>
      <w:rPr>
        <w:rFonts w:hint="default" w:ascii="Symbol" w:hAnsi="Symbol" w:eastAsia="Symbol" w:cs="Symbo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16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3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2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1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9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8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6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74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25"/>
      <w:ind w:left="874" w:hanging="36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dc:title>Microsoft Word - INTRODUCCIÓN</dc:title>
  <dcterms:created xsi:type="dcterms:W3CDTF">2020-11-02T19:57:00Z</dcterms:created>
  <dcterms:modified xsi:type="dcterms:W3CDTF">2020-11-02T19:57:00Z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2020-11-02T00:00:00Z</vt:filetime>
  </property>
</Properties>
</file>